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F98F3" w14:textId="77777777" w:rsidR="00554D9D" w:rsidRDefault="00554D9D" w:rsidP="00CE3B00">
      <w:pPr>
        <w:spacing w:after="0"/>
        <w:rPr>
          <w:rFonts w:ascii="Verdana" w:hAnsi="Verdana"/>
          <w:sz w:val="22"/>
          <w:szCs w:val="18"/>
          <w:lang w:val="sv-SE"/>
        </w:rPr>
      </w:pPr>
    </w:p>
    <w:p w14:paraId="5C0EA6D9" w14:textId="77777777" w:rsidR="001C3698" w:rsidRDefault="00CE3B00" w:rsidP="00CE3B00">
      <w:pPr>
        <w:spacing w:after="0"/>
        <w:rPr>
          <w:rFonts w:ascii="Verdana" w:hAnsi="Verdana"/>
          <w:sz w:val="22"/>
          <w:szCs w:val="18"/>
          <w:lang w:val="sv-SE"/>
        </w:rPr>
      </w:pPr>
      <w:r w:rsidRPr="00CE3B00">
        <w:rPr>
          <w:rFonts w:ascii="Verdana" w:hAnsi="Verdana"/>
          <w:sz w:val="22"/>
          <w:szCs w:val="18"/>
          <w:lang w:val="sv-SE"/>
        </w:rPr>
        <w:t>TRIPLE-NEGATIV BRYSTKRÆFT (TNBC)</w:t>
      </w:r>
    </w:p>
    <w:p w14:paraId="508D092A" w14:textId="77777777" w:rsidR="00CE3B00" w:rsidRPr="00CE3B00" w:rsidRDefault="00CE3B00" w:rsidP="00CE3B00">
      <w:pPr>
        <w:spacing w:after="0"/>
        <w:rPr>
          <w:sz w:val="28"/>
          <w:szCs w:val="22"/>
          <w:lang w:val="sv-SE"/>
        </w:rPr>
      </w:pPr>
    </w:p>
    <w:p w14:paraId="4DA57868" w14:textId="4471DE97" w:rsidR="00CE3B00" w:rsidRDefault="00CE3B00" w:rsidP="00CE3B00">
      <w:pPr>
        <w:spacing w:after="0"/>
        <w:rPr>
          <w:rFonts w:ascii="Verdana" w:hAnsi="Verdana" w:cstheme="majorHAnsi"/>
          <w:sz w:val="20"/>
          <w:szCs w:val="16"/>
          <w:lang w:val="sv-SE"/>
        </w:rPr>
      </w:pPr>
      <w:r w:rsidRPr="00CE3B00">
        <w:rPr>
          <w:rFonts w:ascii="Verdana" w:hAnsi="Verdana" w:cstheme="majorHAnsi"/>
          <w:sz w:val="20"/>
          <w:szCs w:val="16"/>
          <w:lang w:val="sv-SE"/>
        </w:rPr>
        <w:t>”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Triple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-negativ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brystkræft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”(TNBC)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plejer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man at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kalde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den form for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brystkræft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, som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mangler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hormonreceptorer (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ikke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er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følsomme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="00554D9D">
        <w:rPr>
          <w:rFonts w:ascii="Verdana" w:hAnsi="Verdana" w:cstheme="majorHAnsi"/>
          <w:sz w:val="20"/>
          <w:szCs w:val="16"/>
          <w:lang w:val="sv-SE"/>
        </w:rPr>
        <w:t>over</w:t>
      </w:r>
      <w:r w:rsidRPr="00CE3B00">
        <w:rPr>
          <w:rFonts w:ascii="Verdana" w:hAnsi="Verdana" w:cstheme="majorHAnsi"/>
          <w:sz w:val="20"/>
          <w:szCs w:val="16"/>
          <w:lang w:val="sv-SE"/>
        </w:rPr>
        <w:t>for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)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østrogen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og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progesteron,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og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som er HER2-negativ.</w:t>
      </w:r>
    </w:p>
    <w:p w14:paraId="5F751C59" w14:textId="77777777" w:rsidR="00554D9D" w:rsidRPr="00CE3B00" w:rsidRDefault="00554D9D" w:rsidP="00CE3B00">
      <w:pPr>
        <w:spacing w:after="0"/>
        <w:rPr>
          <w:rFonts w:ascii="Verdana" w:hAnsi="Verdana" w:cstheme="majorHAnsi"/>
          <w:sz w:val="20"/>
          <w:szCs w:val="16"/>
          <w:lang w:val="sv-SE"/>
        </w:rPr>
      </w:pPr>
    </w:p>
    <w:p w14:paraId="2FD828C8" w14:textId="7367DB6E" w:rsidR="00CE3B00" w:rsidRDefault="00CE3B00" w:rsidP="007D67CE">
      <w:pPr>
        <w:spacing w:after="0"/>
        <w:rPr>
          <w:rFonts w:ascii="Verdana" w:hAnsi="Verdana" w:cstheme="majorHAnsi"/>
          <w:sz w:val="20"/>
          <w:szCs w:val="16"/>
          <w:lang w:val="sv-SE"/>
        </w:rPr>
      </w:pPr>
      <w:r w:rsidRPr="00CE3B00">
        <w:rPr>
          <w:rFonts w:ascii="Verdana" w:hAnsi="Verdana" w:cstheme="majorHAnsi"/>
          <w:sz w:val="20"/>
          <w:szCs w:val="16"/>
          <w:lang w:val="sv-SE"/>
        </w:rPr>
        <w:t xml:space="preserve">De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fleste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typer for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brystkræft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er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hormonfølsomme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(ca. 80%)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og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kan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behandles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med antihormonbehandling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og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den andel som er HER2 -positiv (ca 15%) kan bl.a.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behandles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målrettet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med HER2-antistoffer.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Disse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behandlinger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er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ikke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virksomme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ved TNBC, eftersom TNBC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mangler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disse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egen</w:t>
      </w:r>
      <w:r w:rsidRPr="00607173">
        <w:rPr>
          <w:rFonts w:ascii="Verdana" w:hAnsi="Verdana" w:cstheme="majorHAnsi"/>
          <w:sz w:val="20"/>
          <w:szCs w:val="16"/>
          <w:lang w:val="sv-SE"/>
        </w:rPr>
        <w:t>skaber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. De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vigtigste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behandlingesmetoder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 ved TNBC er kirurgi med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tillæg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af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 kemoterapi</w:t>
      </w:r>
      <w:r w:rsidR="00607173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="003532E9">
        <w:rPr>
          <w:rFonts w:ascii="Verdana" w:hAnsi="Verdana" w:cstheme="majorHAnsi"/>
          <w:sz w:val="20"/>
          <w:szCs w:val="16"/>
          <w:lang w:val="sv-SE"/>
        </w:rPr>
        <w:t>før</w:t>
      </w:r>
      <w:proofErr w:type="spellEnd"/>
      <w:r w:rsidR="003532E9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="003532E9">
        <w:rPr>
          <w:rFonts w:ascii="Verdana" w:hAnsi="Verdana" w:cstheme="majorHAnsi"/>
          <w:sz w:val="20"/>
          <w:szCs w:val="16"/>
          <w:lang w:val="sv-SE"/>
        </w:rPr>
        <w:t>og</w:t>
      </w:r>
      <w:proofErr w:type="spellEnd"/>
      <w:r w:rsidR="003532E9">
        <w:rPr>
          <w:rFonts w:ascii="Verdana" w:hAnsi="Verdana" w:cstheme="majorHAnsi"/>
          <w:sz w:val="20"/>
          <w:szCs w:val="16"/>
          <w:lang w:val="sv-SE"/>
        </w:rPr>
        <w:t xml:space="preserve">/eller efter operation, samt </w:t>
      </w:r>
      <w:proofErr w:type="spellStart"/>
      <w:r w:rsidR="003532E9">
        <w:rPr>
          <w:rFonts w:ascii="Verdana" w:hAnsi="Verdana" w:cstheme="majorHAnsi"/>
          <w:sz w:val="20"/>
          <w:szCs w:val="16"/>
          <w:lang w:val="sv-SE"/>
        </w:rPr>
        <w:t>strålebehandling</w:t>
      </w:r>
      <w:proofErr w:type="spellEnd"/>
      <w:r w:rsidR="008450CC">
        <w:rPr>
          <w:rFonts w:ascii="Verdana" w:hAnsi="Verdana" w:cstheme="majorHAnsi"/>
          <w:sz w:val="20"/>
          <w:szCs w:val="16"/>
          <w:lang w:val="sv-SE"/>
        </w:rPr>
        <w:t xml:space="preserve">.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Nogle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gange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 kan behandling med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bisfosfonater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, stoffer som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benyttes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til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 behandling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af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knogleskørhed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>(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osteoporose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),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være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607173">
        <w:rPr>
          <w:rFonts w:ascii="Verdana" w:hAnsi="Verdana" w:cstheme="majorHAnsi"/>
          <w:sz w:val="20"/>
          <w:szCs w:val="16"/>
          <w:lang w:val="sv-SE"/>
        </w:rPr>
        <w:t>aktuel</w:t>
      </w:r>
      <w:proofErr w:type="spellEnd"/>
      <w:r w:rsidRPr="00607173">
        <w:rPr>
          <w:rFonts w:ascii="Verdana" w:hAnsi="Verdana" w:cstheme="majorHAnsi"/>
          <w:sz w:val="20"/>
          <w:szCs w:val="16"/>
          <w:lang w:val="sv-SE"/>
        </w:rPr>
        <w:t>.</w:t>
      </w:r>
      <w:r w:rsidRPr="00CE3B00">
        <w:rPr>
          <w:rFonts w:ascii="Verdana" w:hAnsi="Verdana" w:cstheme="majorHAnsi"/>
          <w:sz w:val="20"/>
          <w:szCs w:val="16"/>
          <w:lang w:val="sv-SE"/>
        </w:rPr>
        <w:t xml:space="preserve"> TNBC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udgør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ca 10%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af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alle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nydiagnosticerede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 xml:space="preserve"> </w:t>
      </w:r>
      <w:proofErr w:type="spellStart"/>
      <w:r w:rsidRPr="00CE3B00">
        <w:rPr>
          <w:rFonts w:ascii="Verdana" w:hAnsi="Verdana" w:cstheme="majorHAnsi"/>
          <w:sz w:val="20"/>
          <w:szCs w:val="16"/>
          <w:lang w:val="sv-SE"/>
        </w:rPr>
        <w:t>brystkræfttilfælde</w:t>
      </w:r>
      <w:proofErr w:type="spellEnd"/>
      <w:r w:rsidRPr="00CE3B00">
        <w:rPr>
          <w:rFonts w:ascii="Verdana" w:hAnsi="Verdana" w:cstheme="majorHAnsi"/>
          <w:sz w:val="20"/>
          <w:szCs w:val="16"/>
          <w:lang w:val="sv-SE"/>
        </w:rPr>
        <w:t>.</w:t>
      </w:r>
    </w:p>
    <w:p w14:paraId="33B37548" w14:textId="06A71231" w:rsidR="00CE3B00" w:rsidRDefault="00CE3B00" w:rsidP="007D67CE">
      <w:pPr>
        <w:spacing w:after="0"/>
        <w:rPr>
          <w:rFonts w:ascii="Verdana" w:hAnsi="Verdana" w:cstheme="majorHAnsi"/>
          <w:sz w:val="20"/>
          <w:szCs w:val="16"/>
          <w:lang w:val="sv-SE"/>
        </w:rPr>
      </w:pPr>
    </w:p>
    <w:p w14:paraId="6B980988" w14:textId="0B74000B" w:rsidR="00CE3B00" w:rsidRDefault="00CE3B00" w:rsidP="00CE3B00">
      <w:pPr>
        <w:spacing w:after="0"/>
        <w:rPr>
          <w:rFonts w:ascii="Verdana" w:hAnsi="Verdana"/>
          <w:sz w:val="20"/>
          <w:lang w:val="sv-SE"/>
        </w:rPr>
      </w:pPr>
      <w:proofErr w:type="spellStart"/>
      <w:r w:rsidRPr="00CE3B00">
        <w:rPr>
          <w:rFonts w:ascii="Verdana" w:hAnsi="Verdana"/>
          <w:sz w:val="20"/>
          <w:lang w:val="sv-SE"/>
        </w:rPr>
        <w:t>Nogle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</w:t>
      </w:r>
      <w:proofErr w:type="spellStart"/>
      <w:r w:rsidRPr="00CE3B00">
        <w:rPr>
          <w:rFonts w:ascii="Verdana" w:hAnsi="Verdana"/>
          <w:sz w:val="20"/>
          <w:lang w:val="sv-SE"/>
        </w:rPr>
        <w:t>gange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kan man læse at TNBC er den mest aggressive form for </w:t>
      </w:r>
      <w:proofErr w:type="spellStart"/>
      <w:r w:rsidRPr="00CE3B00">
        <w:rPr>
          <w:rFonts w:ascii="Verdana" w:hAnsi="Verdana"/>
          <w:sz w:val="20"/>
          <w:lang w:val="sv-SE"/>
        </w:rPr>
        <w:t>brystkræft</w:t>
      </w:r>
      <w:proofErr w:type="spellEnd"/>
      <w:r w:rsidRPr="00CE3B00">
        <w:rPr>
          <w:rFonts w:ascii="Verdana" w:hAnsi="Verdana"/>
          <w:sz w:val="20"/>
          <w:lang w:val="sv-SE"/>
        </w:rPr>
        <w:t xml:space="preserve">, hvilket kan </w:t>
      </w:r>
      <w:proofErr w:type="spellStart"/>
      <w:r w:rsidRPr="00CE3B00">
        <w:rPr>
          <w:rFonts w:ascii="Verdana" w:hAnsi="Verdana"/>
          <w:sz w:val="20"/>
          <w:lang w:val="sv-SE"/>
        </w:rPr>
        <w:t>føre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</w:t>
      </w:r>
      <w:proofErr w:type="spellStart"/>
      <w:r w:rsidRPr="00CE3B00">
        <w:rPr>
          <w:rFonts w:ascii="Verdana" w:hAnsi="Verdana"/>
          <w:sz w:val="20"/>
          <w:lang w:val="sv-SE"/>
        </w:rPr>
        <w:t>til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en </w:t>
      </w:r>
      <w:proofErr w:type="spellStart"/>
      <w:r w:rsidRPr="00CE3B00">
        <w:rPr>
          <w:rFonts w:ascii="Verdana" w:hAnsi="Verdana"/>
          <w:sz w:val="20"/>
          <w:lang w:val="sv-SE"/>
        </w:rPr>
        <w:t>forkert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konklusion. Det lyder som om at de </w:t>
      </w:r>
      <w:proofErr w:type="spellStart"/>
      <w:r w:rsidRPr="00CE3B00">
        <w:rPr>
          <w:rFonts w:ascii="Verdana" w:hAnsi="Verdana"/>
          <w:sz w:val="20"/>
          <w:lang w:val="sv-SE"/>
        </w:rPr>
        <w:t>fleste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, som får </w:t>
      </w:r>
      <w:proofErr w:type="spellStart"/>
      <w:r w:rsidRPr="00CE3B00">
        <w:rPr>
          <w:rFonts w:ascii="Verdana" w:hAnsi="Verdana"/>
          <w:sz w:val="20"/>
          <w:lang w:val="sv-SE"/>
        </w:rPr>
        <w:t>konstateret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TNBC </w:t>
      </w:r>
      <w:proofErr w:type="spellStart"/>
      <w:r w:rsidRPr="00CE3B00">
        <w:rPr>
          <w:rFonts w:ascii="Verdana" w:hAnsi="Verdana"/>
          <w:sz w:val="20"/>
          <w:lang w:val="sv-SE"/>
        </w:rPr>
        <w:t>ikke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får det </w:t>
      </w:r>
      <w:proofErr w:type="spellStart"/>
      <w:r w:rsidRPr="00CE3B00">
        <w:rPr>
          <w:rFonts w:ascii="Verdana" w:hAnsi="Verdana"/>
          <w:sz w:val="20"/>
          <w:lang w:val="sv-SE"/>
        </w:rPr>
        <w:t>godt</w:t>
      </w:r>
      <w:proofErr w:type="spellEnd"/>
      <w:r w:rsidRPr="00CE3B00">
        <w:rPr>
          <w:rFonts w:ascii="Verdana" w:hAnsi="Verdana"/>
          <w:sz w:val="20"/>
          <w:lang w:val="sv-SE"/>
        </w:rPr>
        <w:t xml:space="preserve">. </w:t>
      </w:r>
      <w:proofErr w:type="spellStart"/>
      <w:r w:rsidRPr="00CE3B00">
        <w:rPr>
          <w:rFonts w:ascii="Verdana" w:hAnsi="Verdana"/>
          <w:sz w:val="20"/>
          <w:lang w:val="sv-SE"/>
        </w:rPr>
        <w:t>Dette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er </w:t>
      </w:r>
      <w:proofErr w:type="spellStart"/>
      <w:r w:rsidRPr="00CE3B00">
        <w:rPr>
          <w:rFonts w:ascii="Verdana" w:hAnsi="Verdana"/>
          <w:sz w:val="20"/>
          <w:lang w:val="sv-SE"/>
        </w:rPr>
        <w:t>ikke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</w:t>
      </w:r>
      <w:proofErr w:type="spellStart"/>
      <w:r w:rsidRPr="00CE3B00">
        <w:rPr>
          <w:rFonts w:ascii="Verdana" w:hAnsi="Verdana"/>
          <w:sz w:val="20"/>
          <w:lang w:val="sv-SE"/>
        </w:rPr>
        <w:t>sandt</w:t>
      </w:r>
      <w:proofErr w:type="spellEnd"/>
      <w:r w:rsidRPr="00CE3B00">
        <w:rPr>
          <w:rFonts w:ascii="Verdana" w:hAnsi="Verdana"/>
          <w:sz w:val="20"/>
          <w:lang w:val="sv-SE"/>
        </w:rPr>
        <w:t xml:space="preserve">. </w:t>
      </w:r>
      <w:proofErr w:type="spellStart"/>
      <w:r w:rsidRPr="00CE3B00">
        <w:rPr>
          <w:rFonts w:ascii="Verdana" w:hAnsi="Verdana"/>
          <w:sz w:val="20"/>
          <w:lang w:val="sv-SE"/>
        </w:rPr>
        <w:t>Langt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</w:t>
      </w:r>
      <w:proofErr w:type="spellStart"/>
      <w:r w:rsidRPr="00CE3B00">
        <w:rPr>
          <w:rFonts w:ascii="Verdana" w:hAnsi="Verdana"/>
          <w:sz w:val="20"/>
          <w:lang w:val="sv-SE"/>
        </w:rPr>
        <w:t>størstedelen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</w:t>
      </w:r>
      <w:proofErr w:type="spellStart"/>
      <w:r w:rsidRPr="00CE3B00">
        <w:rPr>
          <w:rFonts w:ascii="Verdana" w:hAnsi="Verdana"/>
          <w:sz w:val="20"/>
          <w:lang w:val="sv-SE"/>
        </w:rPr>
        <w:t>af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TNBC </w:t>
      </w:r>
      <w:proofErr w:type="spellStart"/>
      <w:r w:rsidRPr="00CE3B00">
        <w:rPr>
          <w:rFonts w:ascii="Verdana" w:hAnsi="Verdana"/>
          <w:sz w:val="20"/>
          <w:lang w:val="sv-SE"/>
        </w:rPr>
        <w:t>patienterne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kommer sig efter behandling, </w:t>
      </w:r>
      <w:proofErr w:type="spellStart"/>
      <w:r w:rsidRPr="00CE3B00">
        <w:rPr>
          <w:rFonts w:ascii="Verdana" w:hAnsi="Verdana"/>
          <w:sz w:val="20"/>
          <w:lang w:val="sv-SE"/>
        </w:rPr>
        <w:t>selvom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</w:t>
      </w:r>
      <w:proofErr w:type="spellStart"/>
      <w:r w:rsidRPr="00CE3B00">
        <w:rPr>
          <w:rFonts w:ascii="Verdana" w:hAnsi="Verdana"/>
          <w:sz w:val="20"/>
          <w:lang w:val="sv-SE"/>
        </w:rPr>
        <w:t>kræftcellerne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i TNBC </w:t>
      </w:r>
      <w:proofErr w:type="spellStart"/>
      <w:r w:rsidRPr="00CE3B00">
        <w:rPr>
          <w:rFonts w:ascii="Verdana" w:hAnsi="Verdana"/>
          <w:sz w:val="20"/>
          <w:lang w:val="sv-SE"/>
        </w:rPr>
        <w:t>ofte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har </w:t>
      </w:r>
      <w:proofErr w:type="spellStart"/>
      <w:r w:rsidRPr="00CE3B00">
        <w:rPr>
          <w:rFonts w:ascii="Verdana" w:hAnsi="Verdana"/>
          <w:sz w:val="20"/>
          <w:lang w:val="sv-SE"/>
        </w:rPr>
        <w:t>egenskaber</w:t>
      </w:r>
      <w:proofErr w:type="spellEnd"/>
      <w:r w:rsidRPr="00CE3B00">
        <w:rPr>
          <w:rFonts w:ascii="Verdana" w:hAnsi="Verdana"/>
          <w:sz w:val="20"/>
          <w:lang w:val="sv-SE"/>
        </w:rPr>
        <w:t xml:space="preserve">, </w:t>
      </w:r>
      <w:proofErr w:type="spellStart"/>
      <w:r w:rsidRPr="00CE3B00">
        <w:rPr>
          <w:rFonts w:ascii="Verdana" w:hAnsi="Verdana"/>
          <w:sz w:val="20"/>
          <w:lang w:val="sv-SE"/>
        </w:rPr>
        <w:t>der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kan </w:t>
      </w:r>
      <w:proofErr w:type="spellStart"/>
      <w:r w:rsidRPr="00CE3B00">
        <w:rPr>
          <w:rFonts w:ascii="Verdana" w:hAnsi="Verdana"/>
          <w:sz w:val="20"/>
          <w:lang w:val="sv-SE"/>
        </w:rPr>
        <w:t>opfattes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som ”aggressive”.</w:t>
      </w:r>
    </w:p>
    <w:p w14:paraId="7C325B7E" w14:textId="32ECE523" w:rsidR="00554D9D" w:rsidRDefault="00554D9D" w:rsidP="00CE3B00">
      <w:pPr>
        <w:spacing w:after="0"/>
        <w:rPr>
          <w:rFonts w:ascii="Verdana" w:hAnsi="Verdana"/>
          <w:sz w:val="20"/>
          <w:lang w:val="sv-SE"/>
        </w:rPr>
      </w:pPr>
    </w:p>
    <w:p w14:paraId="5CD9D84F" w14:textId="42DDA143" w:rsidR="00554D9D" w:rsidRPr="00CE3B00" w:rsidRDefault="00554D9D" w:rsidP="00554D9D">
      <w:pPr>
        <w:spacing w:after="0"/>
        <w:rPr>
          <w:rFonts w:ascii="Verdana" w:hAnsi="Verdana"/>
          <w:sz w:val="20"/>
          <w:lang w:val="sv-SE"/>
        </w:rPr>
      </w:pPr>
      <w:r w:rsidRPr="00CE3B00">
        <w:rPr>
          <w:rFonts w:ascii="Verdana" w:hAnsi="Verdana"/>
          <w:sz w:val="20"/>
          <w:lang w:val="sv-SE"/>
        </w:rPr>
        <w:t xml:space="preserve">Andelen </w:t>
      </w:r>
      <w:proofErr w:type="spellStart"/>
      <w:r w:rsidRPr="00CE3B00">
        <w:rPr>
          <w:rFonts w:ascii="Verdana" w:hAnsi="Verdana"/>
          <w:sz w:val="20"/>
          <w:lang w:val="sv-SE"/>
        </w:rPr>
        <w:t>af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patienter med </w:t>
      </w:r>
      <w:proofErr w:type="spellStart"/>
      <w:r w:rsidRPr="00CE3B00">
        <w:rPr>
          <w:rFonts w:ascii="Verdana" w:hAnsi="Verdana"/>
          <w:sz w:val="20"/>
          <w:lang w:val="sv-SE"/>
        </w:rPr>
        <w:t>alvorlig</w:t>
      </w:r>
      <w:r w:rsidR="009E1A9A">
        <w:rPr>
          <w:rFonts w:ascii="Verdana" w:hAnsi="Verdana"/>
          <w:sz w:val="20"/>
          <w:lang w:val="sv-SE"/>
        </w:rPr>
        <w:t>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</w:t>
      </w:r>
      <w:proofErr w:type="spellStart"/>
      <w:r w:rsidRPr="00CE3B00">
        <w:rPr>
          <w:rFonts w:ascii="Verdana" w:hAnsi="Verdana"/>
          <w:sz w:val="20"/>
          <w:lang w:val="sv-SE"/>
        </w:rPr>
        <w:t>tilbagefald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er </w:t>
      </w:r>
      <w:proofErr w:type="spellStart"/>
      <w:r w:rsidRPr="00CE3B00">
        <w:rPr>
          <w:rFonts w:ascii="Verdana" w:hAnsi="Verdana"/>
          <w:sz w:val="20"/>
          <w:lang w:val="sv-SE"/>
        </w:rPr>
        <w:t>lidt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</w:t>
      </w:r>
      <w:proofErr w:type="spellStart"/>
      <w:r w:rsidRPr="00CE3B00">
        <w:rPr>
          <w:rFonts w:ascii="Verdana" w:hAnsi="Verdana"/>
          <w:sz w:val="20"/>
          <w:lang w:val="sv-SE"/>
        </w:rPr>
        <w:t>højrere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ved TNBC end hos</w:t>
      </w:r>
      <w:r w:rsidR="003B38FB">
        <w:rPr>
          <w:rFonts w:ascii="Verdana" w:hAnsi="Verdana"/>
          <w:sz w:val="20"/>
          <w:lang w:val="sv-SE"/>
        </w:rPr>
        <w:t xml:space="preserve"> </w:t>
      </w:r>
      <w:r w:rsidRPr="00CE3B00">
        <w:rPr>
          <w:rFonts w:ascii="Verdana" w:hAnsi="Verdana"/>
          <w:sz w:val="20"/>
          <w:lang w:val="sv-SE"/>
        </w:rPr>
        <w:t xml:space="preserve">patienter med </w:t>
      </w:r>
      <w:proofErr w:type="spellStart"/>
      <w:r w:rsidRPr="00CE3B00">
        <w:rPr>
          <w:rFonts w:ascii="Verdana" w:hAnsi="Verdana"/>
          <w:sz w:val="20"/>
          <w:lang w:val="sv-SE"/>
        </w:rPr>
        <w:t>hormonfølsom</w:t>
      </w:r>
      <w:proofErr w:type="spellEnd"/>
      <w:r w:rsidRPr="00CE3B00">
        <w:rPr>
          <w:rFonts w:ascii="Verdana" w:hAnsi="Verdana"/>
          <w:sz w:val="20"/>
          <w:lang w:val="sv-SE"/>
        </w:rPr>
        <w:t xml:space="preserve">- </w:t>
      </w:r>
      <w:proofErr w:type="spellStart"/>
      <w:r w:rsidRPr="00CE3B00">
        <w:rPr>
          <w:rFonts w:ascii="Verdana" w:hAnsi="Verdana"/>
          <w:sz w:val="20"/>
          <w:lang w:val="sv-SE"/>
        </w:rPr>
        <w:t>og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HER2-positiv </w:t>
      </w:r>
      <w:proofErr w:type="spellStart"/>
      <w:r w:rsidRPr="00CE3B00">
        <w:rPr>
          <w:rFonts w:ascii="Verdana" w:hAnsi="Verdana"/>
          <w:sz w:val="20"/>
          <w:lang w:val="sv-SE"/>
        </w:rPr>
        <w:t>brystkræft</w:t>
      </w:r>
      <w:proofErr w:type="spellEnd"/>
      <w:r w:rsidRPr="00CE3B00">
        <w:rPr>
          <w:rFonts w:ascii="Verdana" w:hAnsi="Verdana"/>
          <w:sz w:val="20"/>
          <w:lang w:val="sv-SE"/>
        </w:rPr>
        <w:t xml:space="preserve">. Man kan </w:t>
      </w:r>
      <w:proofErr w:type="spellStart"/>
      <w:r w:rsidRPr="00CE3B00">
        <w:rPr>
          <w:rFonts w:ascii="Verdana" w:hAnsi="Verdana"/>
          <w:sz w:val="20"/>
          <w:lang w:val="sv-SE"/>
        </w:rPr>
        <w:t>derfor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</w:t>
      </w:r>
      <w:proofErr w:type="spellStart"/>
      <w:r w:rsidRPr="00CE3B00">
        <w:rPr>
          <w:rFonts w:ascii="Verdana" w:hAnsi="Verdana"/>
          <w:sz w:val="20"/>
          <w:lang w:val="sv-SE"/>
        </w:rPr>
        <w:t>sige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at TNBC er den </w:t>
      </w:r>
      <w:proofErr w:type="spellStart"/>
      <w:r w:rsidRPr="00CE3B00">
        <w:rPr>
          <w:rFonts w:ascii="Verdana" w:hAnsi="Verdana"/>
          <w:sz w:val="20"/>
          <w:lang w:val="sv-SE"/>
        </w:rPr>
        <w:t>mindst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gunstige form for </w:t>
      </w:r>
      <w:proofErr w:type="spellStart"/>
      <w:r w:rsidRPr="00CE3B00">
        <w:rPr>
          <w:rFonts w:ascii="Verdana" w:hAnsi="Verdana"/>
          <w:sz w:val="20"/>
          <w:lang w:val="sv-SE"/>
        </w:rPr>
        <w:t>brystkræft</w:t>
      </w:r>
      <w:proofErr w:type="spellEnd"/>
      <w:r w:rsidRPr="00CE3B00">
        <w:rPr>
          <w:rFonts w:ascii="Verdana" w:hAnsi="Verdana"/>
          <w:sz w:val="20"/>
          <w:lang w:val="sv-SE"/>
        </w:rPr>
        <w:t>.</w:t>
      </w:r>
    </w:p>
    <w:p w14:paraId="2C4C2A57" w14:textId="77777777" w:rsidR="00554D9D" w:rsidRPr="00CE3B00" w:rsidRDefault="00554D9D" w:rsidP="00554D9D">
      <w:pPr>
        <w:spacing w:after="0"/>
        <w:rPr>
          <w:rFonts w:ascii="Verdana" w:hAnsi="Verdana"/>
          <w:sz w:val="20"/>
          <w:lang w:val="sv-SE"/>
        </w:rPr>
      </w:pPr>
    </w:p>
    <w:p w14:paraId="010104B4" w14:textId="7C6F507A" w:rsidR="00554D9D" w:rsidRPr="00CE3B00" w:rsidRDefault="00554D9D" w:rsidP="00554D9D">
      <w:pPr>
        <w:spacing w:after="0"/>
        <w:rPr>
          <w:rFonts w:ascii="Verdana" w:hAnsi="Verdana"/>
          <w:sz w:val="20"/>
          <w:lang w:val="sv-SE"/>
        </w:rPr>
      </w:pPr>
      <w:r w:rsidRPr="00CE3B00">
        <w:rPr>
          <w:rFonts w:ascii="Verdana" w:hAnsi="Verdana"/>
          <w:sz w:val="20"/>
          <w:lang w:val="sv-SE"/>
        </w:rPr>
        <w:t xml:space="preserve">Det er i dag </w:t>
      </w:r>
      <w:proofErr w:type="spellStart"/>
      <w:r w:rsidRPr="00CE3B00">
        <w:rPr>
          <w:rFonts w:ascii="Verdana" w:hAnsi="Verdana"/>
          <w:sz w:val="20"/>
          <w:lang w:val="sv-SE"/>
        </w:rPr>
        <w:t>almindeligt</w:t>
      </w:r>
      <w:proofErr w:type="spellEnd"/>
      <w:r w:rsidRPr="00CE3B00">
        <w:rPr>
          <w:rFonts w:ascii="Verdana" w:hAnsi="Verdana"/>
          <w:sz w:val="20"/>
          <w:lang w:val="sv-SE"/>
        </w:rPr>
        <w:t xml:space="preserve">, at man </w:t>
      </w:r>
      <w:proofErr w:type="spellStart"/>
      <w:r w:rsidRPr="00CE3B00">
        <w:rPr>
          <w:rFonts w:ascii="Verdana" w:hAnsi="Verdana"/>
          <w:sz w:val="20"/>
          <w:lang w:val="sv-SE"/>
        </w:rPr>
        <w:t>behandler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TNBC med kemoterapi som </w:t>
      </w:r>
      <w:proofErr w:type="spellStart"/>
      <w:r w:rsidRPr="00CE3B00">
        <w:rPr>
          <w:rFonts w:ascii="Verdana" w:hAnsi="Verdana"/>
          <w:sz w:val="20"/>
          <w:lang w:val="sv-SE"/>
        </w:rPr>
        <w:t>første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</w:t>
      </w:r>
      <w:proofErr w:type="spellStart"/>
      <w:r w:rsidRPr="00CE3B00">
        <w:rPr>
          <w:rFonts w:ascii="Verdana" w:hAnsi="Verdana"/>
          <w:sz w:val="20"/>
          <w:lang w:val="sv-SE"/>
        </w:rPr>
        <w:t>valg</w:t>
      </w:r>
      <w:proofErr w:type="spellEnd"/>
      <w:r w:rsidRPr="00CE3B00">
        <w:rPr>
          <w:rFonts w:ascii="Verdana" w:hAnsi="Verdana"/>
          <w:sz w:val="20"/>
          <w:lang w:val="sv-SE"/>
        </w:rPr>
        <w:t xml:space="preserve">. På den </w:t>
      </w:r>
      <w:proofErr w:type="spellStart"/>
      <w:r w:rsidRPr="00CE3B00">
        <w:rPr>
          <w:rFonts w:ascii="Verdana" w:hAnsi="Verdana"/>
          <w:sz w:val="20"/>
          <w:lang w:val="sv-SE"/>
        </w:rPr>
        <w:t>måde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har man </w:t>
      </w:r>
      <w:proofErr w:type="spellStart"/>
      <w:r w:rsidRPr="00CE3B00">
        <w:rPr>
          <w:rFonts w:ascii="Verdana" w:hAnsi="Verdana"/>
          <w:sz w:val="20"/>
          <w:lang w:val="sv-SE"/>
        </w:rPr>
        <w:t>mulighed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for at </w:t>
      </w:r>
      <w:proofErr w:type="spellStart"/>
      <w:r w:rsidRPr="00CE3B00">
        <w:rPr>
          <w:rFonts w:ascii="Verdana" w:hAnsi="Verdana"/>
          <w:sz w:val="20"/>
          <w:lang w:val="sv-SE"/>
        </w:rPr>
        <w:t>vurdere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behandlingseffekten på </w:t>
      </w:r>
      <w:proofErr w:type="spellStart"/>
      <w:r w:rsidRPr="00CE3B00">
        <w:rPr>
          <w:rFonts w:ascii="Verdana" w:hAnsi="Verdana"/>
          <w:sz w:val="20"/>
          <w:lang w:val="sv-SE"/>
        </w:rPr>
        <w:t>tumorrcellerne</w:t>
      </w:r>
      <w:proofErr w:type="spellEnd"/>
      <w:r>
        <w:rPr>
          <w:rFonts w:ascii="Verdana" w:hAnsi="Verdana"/>
          <w:sz w:val="20"/>
          <w:lang w:val="sv-SE"/>
        </w:rPr>
        <w:t>,</w:t>
      </w:r>
      <w:r w:rsidRPr="00CE3B00">
        <w:rPr>
          <w:rFonts w:ascii="Verdana" w:hAnsi="Verdana"/>
          <w:sz w:val="20"/>
          <w:lang w:val="sv-SE"/>
        </w:rPr>
        <w:t xml:space="preserve"> </w:t>
      </w:r>
      <w:proofErr w:type="spellStart"/>
      <w:r w:rsidRPr="00CE3B00">
        <w:rPr>
          <w:rFonts w:ascii="Verdana" w:hAnsi="Verdana"/>
          <w:sz w:val="20"/>
          <w:lang w:val="sv-SE"/>
        </w:rPr>
        <w:t>og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</w:t>
      </w:r>
      <w:proofErr w:type="spellStart"/>
      <w:r w:rsidRPr="00CE3B00">
        <w:rPr>
          <w:rFonts w:ascii="Verdana" w:hAnsi="Verdana"/>
          <w:sz w:val="20"/>
          <w:lang w:val="sv-SE"/>
        </w:rPr>
        <w:t>tilpasse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den </w:t>
      </w:r>
      <w:proofErr w:type="spellStart"/>
      <w:r w:rsidRPr="00CE3B00">
        <w:rPr>
          <w:rFonts w:ascii="Verdana" w:hAnsi="Verdana"/>
          <w:sz w:val="20"/>
          <w:lang w:val="sv-SE"/>
        </w:rPr>
        <w:t>efterfølgende</w:t>
      </w:r>
      <w:proofErr w:type="spellEnd"/>
      <w:r w:rsidRPr="00CE3B00">
        <w:rPr>
          <w:rFonts w:ascii="Verdana" w:hAnsi="Verdana"/>
          <w:sz w:val="20"/>
          <w:lang w:val="sv-SE"/>
        </w:rPr>
        <w:t xml:space="preserve"> behandling </w:t>
      </w:r>
      <w:proofErr w:type="spellStart"/>
      <w:r w:rsidRPr="00CE3B00">
        <w:rPr>
          <w:rFonts w:ascii="Verdana" w:hAnsi="Verdana"/>
          <w:sz w:val="20"/>
          <w:lang w:val="sv-SE"/>
        </w:rPr>
        <w:t>individuelt</w:t>
      </w:r>
      <w:proofErr w:type="spellEnd"/>
      <w:r w:rsidRPr="00CE3B00">
        <w:rPr>
          <w:rFonts w:ascii="Verdana" w:hAnsi="Verdana"/>
          <w:sz w:val="20"/>
          <w:lang w:val="sv-SE"/>
        </w:rPr>
        <w:t>.</w:t>
      </w:r>
    </w:p>
    <w:p w14:paraId="451F4D00" w14:textId="77777777" w:rsidR="00554D9D" w:rsidRPr="00CE3B00" w:rsidRDefault="00554D9D" w:rsidP="00CE3B00">
      <w:pPr>
        <w:spacing w:after="0"/>
        <w:rPr>
          <w:rFonts w:ascii="Verdana" w:hAnsi="Verdana"/>
          <w:sz w:val="20"/>
          <w:lang w:val="sv-SE"/>
        </w:rPr>
      </w:pPr>
    </w:p>
    <w:p w14:paraId="52719CC5" w14:textId="77777777" w:rsidR="00CE3B00" w:rsidRDefault="00CE3B00" w:rsidP="007D67CE">
      <w:pPr>
        <w:spacing w:after="0"/>
        <w:rPr>
          <w:rFonts w:ascii="Calibri Light" w:hAnsi="Calibri Light"/>
          <w:szCs w:val="24"/>
          <w:lang w:val="sv-SE"/>
        </w:rPr>
      </w:pPr>
    </w:p>
    <w:p w14:paraId="56D90583" w14:textId="77777777" w:rsidR="00095E90" w:rsidRDefault="00095E90" w:rsidP="007D67CE">
      <w:pPr>
        <w:spacing w:after="0"/>
        <w:rPr>
          <w:rFonts w:ascii="Calibri Light" w:hAnsi="Calibri Light"/>
          <w:szCs w:val="24"/>
          <w:lang w:val="sv-SE"/>
        </w:rPr>
      </w:pPr>
    </w:p>
    <w:p w14:paraId="7785946B" w14:textId="77777777" w:rsidR="00B05143" w:rsidRPr="007D67CE" w:rsidRDefault="001C3698">
      <w:pPr>
        <w:rPr>
          <w:lang w:val="sv-SE"/>
        </w:rPr>
      </w:pPr>
    </w:p>
    <w:sectPr w:rsidR="00B05143" w:rsidRPr="007D6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97D7C" w14:textId="77777777" w:rsidR="003E366A" w:rsidRDefault="003E366A" w:rsidP="003E366A">
      <w:pPr>
        <w:spacing w:after="0" w:line="240" w:lineRule="auto"/>
      </w:pPr>
      <w:r>
        <w:separator/>
      </w:r>
    </w:p>
  </w:endnote>
  <w:endnote w:type="continuationSeparator" w:id="0">
    <w:p w14:paraId="0523F38E" w14:textId="77777777" w:rsidR="003E366A" w:rsidRDefault="003E366A" w:rsidP="003E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A127B" w14:textId="77777777" w:rsidR="003E366A" w:rsidRDefault="003E366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C877C" w14:textId="77777777" w:rsidR="003E366A" w:rsidRDefault="003E36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ED97F" w14:textId="77777777" w:rsidR="003E366A" w:rsidRDefault="003E36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AB2F8" w14:textId="77777777" w:rsidR="003E366A" w:rsidRDefault="003E366A" w:rsidP="003E366A">
      <w:pPr>
        <w:spacing w:after="0" w:line="240" w:lineRule="auto"/>
      </w:pPr>
      <w:r>
        <w:separator/>
      </w:r>
    </w:p>
  </w:footnote>
  <w:footnote w:type="continuationSeparator" w:id="0">
    <w:p w14:paraId="06590450" w14:textId="77777777" w:rsidR="003E366A" w:rsidRDefault="003E366A" w:rsidP="003E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2803A" w14:textId="77777777" w:rsidR="003E366A" w:rsidRDefault="003E366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E4ECD" w14:textId="77777777" w:rsidR="003E366A" w:rsidRDefault="003E366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E084B" w14:textId="77777777" w:rsidR="003E366A" w:rsidRDefault="003E36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E0285A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C609F7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CE"/>
    <w:rsid w:val="00013FB2"/>
    <w:rsid w:val="00095E90"/>
    <w:rsid w:val="000C71EA"/>
    <w:rsid w:val="00142EDA"/>
    <w:rsid w:val="001803F7"/>
    <w:rsid w:val="001C3698"/>
    <w:rsid w:val="0021074F"/>
    <w:rsid w:val="0028410E"/>
    <w:rsid w:val="003532E9"/>
    <w:rsid w:val="003B38FB"/>
    <w:rsid w:val="003E366A"/>
    <w:rsid w:val="004D47F0"/>
    <w:rsid w:val="004F47F7"/>
    <w:rsid w:val="00554D9D"/>
    <w:rsid w:val="005D70CA"/>
    <w:rsid w:val="005F305E"/>
    <w:rsid w:val="00607173"/>
    <w:rsid w:val="006322EB"/>
    <w:rsid w:val="00760A22"/>
    <w:rsid w:val="00793544"/>
    <w:rsid w:val="00797EDD"/>
    <w:rsid w:val="007D67CE"/>
    <w:rsid w:val="008019C1"/>
    <w:rsid w:val="00842232"/>
    <w:rsid w:val="008450CC"/>
    <w:rsid w:val="00925D86"/>
    <w:rsid w:val="00946D12"/>
    <w:rsid w:val="009651AB"/>
    <w:rsid w:val="0099188F"/>
    <w:rsid w:val="009E1A9A"/>
    <w:rsid w:val="00A35B54"/>
    <w:rsid w:val="00A43592"/>
    <w:rsid w:val="00A961EF"/>
    <w:rsid w:val="00AA1931"/>
    <w:rsid w:val="00AC4736"/>
    <w:rsid w:val="00B61C99"/>
    <w:rsid w:val="00C11E9F"/>
    <w:rsid w:val="00C21EAB"/>
    <w:rsid w:val="00CE3B00"/>
    <w:rsid w:val="00D4145F"/>
    <w:rsid w:val="00E97502"/>
    <w:rsid w:val="00ED37BF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AFD3E4"/>
  <w15:chartTrackingRefBased/>
  <w15:docId w15:val="{E575D0B9-61CF-49FE-A341-9C2ED1F5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D9D"/>
    <w:pPr>
      <w:spacing w:after="240" w:line="280" w:lineRule="atLeas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3E3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36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3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35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5B54"/>
    <w:rPr>
      <w:rFonts w:ascii="Segoe UI" w:eastAsia="Times New Roman" w:hAnsi="Segoe UI" w:cs="Segoe UI"/>
      <w:sz w:val="18"/>
      <w:szCs w:val="18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97E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97ED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7ED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7E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7ED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unktlista">
    <w:name w:val="List Bullet"/>
    <w:basedOn w:val="Normal"/>
    <w:uiPriority w:val="99"/>
    <w:semiHidden/>
    <w:unhideWhenUsed/>
    <w:rsid w:val="003E366A"/>
    <w:pPr>
      <w:numPr>
        <w:numId w:val="1"/>
      </w:numPr>
      <w:contextualSpacing/>
    </w:pPr>
  </w:style>
  <w:style w:type="paragraph" w:styleId="Numreradlista">
    <w:name w:val="List Number"/>
    <w:basedOn w:val="Normal"/>
    <w:uiPriority w:val="99"/>
    <w:semiHidden/>
    <w:unhideWhenUsed/>
    <w:rsid w:val="003E366A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E36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36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36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3E3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366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3E3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366A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8CBA-36F3-47BB-BCE1-3D89C0B8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Loman Niklas</dc:creator>
  <cp:keywords/>
  <dc:description/>
  <cp:lastModifiedBy>Magnusson Heidi</cp:lastModifiedBy>
  <cp:revision>3</cp:revision>
  <dcterms:created xsi:type="dcterms:W3CDTF">2021-03-22T08:06:00Z</dcterms:created>
  <dcterms:modified xsi:type="dcterms:W3CDTF">2021-03-24T09:03:00Z</dcterms:modified>
</cp:coreProperties>
</file>